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center"/>
        <w:rPr>
          <w:rFonts w:ascii="NimbusSansL-Bold" w:hAnsi="NimbusSansL-Bold" w:cs="NimbusSansL-Bold"/>
          <w:b/>
          <w:bCs/>
          <w:color w:val="000000"/>
          <w:sz w:val="23"/>
          <w:szCs w:val="23"/>
        </w:rPr>
      </w:pP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MINISTÉRIO PÚBLICO DO TRABALHO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center"/>
        <w:rPr>
          <w:rFonts w:ascii="NimbusSansL-Regu" w:hAnsi="NimbusSansL-Regu" w:cs="NimbusSansL-Regu"/>
          <w:color w:val="000000"/>
          <w:sz w:val="18"/>
          <w:szCs w:val="18"/>
        </w:rPr>
      </w:pPr>
      <w:r>
        <w:rPr>
          <w:rFonts w:ascii="NimbusSansL-Regu" w:hAnsi="NimbusSansL-Regu" w:cs="NimbusSansL-Regu"/>
          <w:color w:val="000000"/>
          <w:sz w:val="18"/>
          <w:szCs w:val="18"/>
        </w:rPr>
        <w:t>Procuradoria Regional do Trabalho 9ª Região - Curitiba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center"/>
        <w:rPr>
          <w:rFonts w:ascii="NimbusSansL-Regu" w:hAnsi="NimbusSansL-Regu" w:cs="NimbusSansL-Regu"/>
          <w:color w:val="000000"/>
          <w:sz w:val="12"/>
          <w:szCs w:val="12"/>
        </w:rPr>
      </w:pPr>
      <w:r>
        <w:rPr>
          <w:rFonts w:ascii="NimbusSansL-Regu" w:hAnsi="NimbusSansL-Regu" w:cs="NimbusSansL-Regu"/>
          <w:color w:val="000000"/>
          <w:sz w:val="12"/>
          <w:szCs w:val="12"/>
        </w:rPr>
        <w:t>Av. Vicente Machado, 84, Centro, Curitiba/PR, CEP 80420-010 - Fone (41)3304-9000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center"/>
        <w:rPr>
          <w:rFonts w:ascii="NimbusSansL-Bold" w:hAnsi="NimbusSansL-Bold" w:cs="NimbusSansL-Bold"/>
          <w:b/>
          <w:bCs/>
          <w:color w:val="000000"/>
          <w:sz w:val="18"/>
          <w:szCs w:val="18"/>
        </w:rPr>
      </w:pPr>
      <w:r>
        <w:rPr>
          <w:rFonts w:ascii="NimbusSansL-Bold" w:hAnsi="NimbusSansL-Bold" w:cs="NimbusSansL-Bold"/>
          <w:b/>
          <w:bCs/>
          <w:color w:val="000000"/>
          <w:sz w:val="18"/>
          <w:szCs w:val="18"/>
        </w:rPr>
        <w:t>2021 - Ano Internacional para a Eliminação do Trabalho Infantil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center"/>
        <w:rPr>
          <w:rFonts w:ascii="NimbusSansL-Regu" w:hAnsi="NimbusSansL-Regu" w:cs="NimbusSansL-Regu"/>
          <w:color w:val="000000"/>
          <w:sz w:val="18"/>
          <w:szCs w:val="18"/>
        </w:rPr>
      </w:pPr>
      <w:r>
        <w:rPr>
          <w:rFonts w:ascii="NimbusSansL-Bold" w:hAnsi="NimbusSansL-Bold" w:cs="NimbusSansL-Bold"/>
          <w:b/>
          <w:bCs/>
          <w:color w:val="FF0000"/>
          <w:sz w:val="35"/>
          <w:szCs w:val="35"/>
        </w:rPr>
        <w:t>#</w:t>
      </w:r>
      <w:proofErr w:type="spellStart"/>
      <w:r>
        <w:rPr>
          <w:rFonts w:ascii="NimbusSansL-Bold" w:hAnsi="NimbusSansL-Bold" w:cs="NimbusSansL-Bold"/>
          <w:b/>
          <w:bCs/>
          <w:color w:val="000000"/>
          <w:sz w:val="25"/>
          <w:szCs w:val="25"/>
        </w:rPr>
        <w:t>Chega</w:t>
      </w:r>
      <w:r>
        <w:rPr>
          <w:rFonts w:ascii="NimbusSansL-Regu" w:hAnsi="NimbusSansL-Regu" w:cs="NimbusSansL-Regu"/>
          <w:color w:val="000000"/>
          <w:sz w:val="18"/>
          <w:szCs w:val="18"/>
        </w:rPr>
        <w:t>de</w:t>
      </w:r>
      <w:proofErr w:type="spellEnd"/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center"/>
        <w:rPr>
          <w:rFonts w:ascii="NimbusSansL-Bold" w:hAnsi="NimbusSansL-Bold" w:cs="NimbusSansL-Bold"/>
          <w:b/>
          <w:bCs/>
          <w:color w:val="000000"/>
          <w:sz w:val="25"/>
          <w:szCs w:val="25"/>
        </w:rPr>
      </w:pPr>
      <w:r>
        <w:rPr>
          <w:rFonts w:ascii="NimbusSansL-Bold" w:hAnsi="NimbusSansL-Bold" w:cs="NimbusSansL-Bold"/>
          <w:b/>
          <w:bCs/>
          <w:color w:val="000000"/>
          <w:sz w:val="25"/>
          <w:szCs w:val="25"/>
        </w:rPr>
        <w:t>Trabalho</w:t>
      </w:r>
    </w:p>
    <w:p w:rsidR="000E2197" w:rsidRDefault="002846EE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Bold" w:hAnsi="NimbusSansL-Bold" w:cs="NimbusSansL-Bold"/>
          <w:b/>
          <w:bCs/>
          <w:color w:val="000000"/>
          <w:sz w:val="25"/>
          <w:szCs w:val="25"/>
        </w:rPr>
      </w:pPr>
      <w:r>
        <w:rPr>
          <w:rFonts w:ascii="NimbusSansL-Bold" w:hAnsi="NimbusSansL-Bold" w:cs="NimbusSansL-Bold"/>
          <w:b/>
          <w:bCs/>
          <w:color w:val="000000"/>
          <w:sz w:val="25"/>
          <w:szCs w:val="25"/>
        </w:rPr>
        <w:t xml:space="preserve">                                                       </w:t>
      </w:r>
      <w:r w:rsidR="000E2197">
        <w:rPr>
          <w:rFonts w:ascii="NimbusSansL-Bold" w:hAnsi="NimbusSansL-Bold" w:cs="NimbusSansL-Bold"/>
          <w:b/>
          <w:bCs/>
          <w:color w:val="000000"/>
          <w:sz w:val="25"/>
          <w:szCs w:val="25"/>
        </w:rPr>
        <w:t>Infantil</w:t>
      </w:r>
    </w:p>
    <w:p w:rsidR="002846EE" w:rsidRDefault="002846EE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Bold" w:hAnsi="NimbusSansL-Bold" w:cs="NimbusSansL-Bold"/>
          <w:b/>
          <w:bCs/>
          <w:color w:val="000000"/>
          <w:sz w:val="25"/>
          <w:szCs w:val="25"/>
        </w:rPr>
      </w:pPr>
      <w:bookmarkStart w:id="0" w:name="_GoBack"/>
      <w:bookmarkEnd w:id="0"/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Bold" w:hAnsi="NimbusSansL-Bold" w:cs="NimbusSansL-Bold"/>
          <w:b/>
          <w:bCs/>
          <w:color w:val="000000"/>
          <w:sz w:val="23"/>
          <w:szCs w:val="23"/>
        </w:rPr>
      </w:pP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PA-PROMO 003986.2017.09.000/7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Bold" w:hAnsi="NimbusSansL-Bold" w:cs="NimbusSansL-Bold"/>
          <w:b/>
          <w:bCs/>
          <w:color w:val="000000"/>
          <w:sz w:val="26"/>
          <w:szCs w:val="26"/>
        </w:rPr>
      </w:pPr>
      <w:r>
        <w:rPr>
          <w:rFonts w:ascii="NimbusSansL-Bold" w:hAnsi="NimbusSansL-Bold" w:cs="NimbusSansL-Bold"/>
          <w:b/>
          <w:bCs/>
          <w:color w:val="000000"/>
          <w:sz w:val="26"/>
          <w:szCs w:val="26"/>
        </w:rPr>
        <w:t>ATA DE AUDIÊNCIA nº 124349.2021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r>
        <w:rPr>
          <w:rFonts w:ascii="NimbusSansL-Regu" w:hAnsi="NimbusSansL-Regu" w:cs="NimbusSansL-Regu"/>
          <w:color w:val="000000"/>
          <w:sz w:val="23"/>
          <w:szCs w:val="23"/>
        </w:rPr>
        <w:t>Às 15h15min, do dia 08 julho de 2021 (08/07/2021), sob a presidência do Exmo.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r>
        <w:rPr>
          <w:rFonts w:ascii="NimbusSansL-Regu" w:hAnsi="NimbusSansL-Regu" w:cs="NimbusSansL-Regu"/>
          <w:color w:val="000000"/>
          <w:sz w:val="23"/>
          <w:szCs w:val="23"/>
        </w:rPr>
        <w:t xml:space="preserve">Procurador do Trabalho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Alberto Emiliano de Oliveira Neto</w:t>
      </w:r>
      <w:r>
        <w:rPr>
          <w:rFonts w:ascii="NimbusSansL-Regu" w:hAnsi="NimbusSansL-Regu" w:cs="NimbusSansL-Regu"/>
          <w:color w:val="000000"/>
          <w:sz w:val="23"/>
          <w:szCs w:val="23"/>
        </w:rPr>
        <w:t>, iniciou-se a audiência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proofErr w:type="gramStart"/>
      <w:r>
        <w:rPr>
          <w:rFonts w:ascii="NimbusSansL-Regu" w:hAnsi="NimbusSansL-Regu" w:cs="NimbusSansL-Regu"/>
          <w:color w:val="000000"/>
          <w:sz w:val="23"/>
          <w:szCs w:val="23"/>
        </w:rPr>
        <w:t>relativa</w:t>
      </w:r>
      <w:proofErr w:type="gram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ao </w:t>
      </w:r>
      <w:proofErr w:type="spellStart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Pa-promo</w:t>
      </w:r>
      <w:proofErr w:type="spellEnd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 nº 003986.2017.09.000/7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realizada por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videoconferência</w:t>
      </w:r>
      <w:r>
        <w:rPr>
          <w:rFonts w:ascii="NimbusSansL-Regu" w:hAnsi="NimbusSansL-Regu" w:cs="NimbusSansL-Regu"/>
          <w:color w:val="000000"/>
          <w:sz w:val="23"/>
          <w:szCs w:val="23"/>
        </w:rPr>
        <w:t>,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proofErr w:type="gramStart"/>
      <w:r>
        <w:rPr>
          <w:rFonts w:ascii="NimbusSansL-Regu" w:hAnsi="NimbusSansL-Regu" w:cs="NimbusSansL-Regu"/>
          <w:color w:val="000000"/>
          <w:sz w:val="23"/>
          <w:szCs w:val="23"/>
        </w:rPr>
        <w:t>pelo</w:t>
      </w:r>
      <w:proofErr w:type="gram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aplicativo </w:t>
      </w:r>
      <w:r>
        <w:rPr>
          <w:rFonts w:ascii="NimbusSanL-ReguItal" w:hAnsi="NimbusSanL-ReguItal" w:cs="NimbusSanL-ReguItal"/>
          <w:color w:val="000000"/>
          <w:sz w:val="23"/>
          <w:szCs w:val="23"/>
        </w:rPr>
        <w:t xml:space="preserve">Microsoft </w:t>
      </w:r>
      <w:proofErr w:type="spellStart"/>
      <w:r>
        <w:rPr>
          <w:rFonts w:ascii="NimbusSanL-ReguItal" w:hAnsi="NimbusSanL-ReguItal" w:cs="NimbusSanL-ReguItal"/>
          <w:color w:val="000000"/>
          <w:sz w:val="23"/>
          <w:szCs w:val="23"/>
        </w:rPr>
        <w:t>Teams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>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Participaram da audiência as seguintes entidades sindicais: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SESCAP-PR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pelo Sr. Paulo José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Mahlow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proofErr w:type="gramStart"/>
      <w:r>
        <w:rPr>
          <w:rFonts w:ascii="NimbusSansL-Regu" w:hAnsi="NimbusSansL-Regu" w:cs="NimbusSansL-Regu"/>
          <w:color w:val="000000"/>
          <w:sz w:val="23"/>
          <w:szCs w:val="23"/>
        </w:rPr>
        <w:t>Tricárico;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SESCAP</w:t>
      </w:r>
      <w:proofErr w:type="spellEnd"/>
      <w:proofErr w:type="gramEnd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 Londrina e Região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represenado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pelo Sr. Marcelo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Odetto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Esquiante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(presidente), Sra.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Lisley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Fonseca (gerente) e Sr. Caio Marcelo Rebouças de Biasi;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SESCAP Campos Gerais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pelo Vicente Paulo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Hajaki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Ribas (diretor de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assuntos legais);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FECOPAR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pelo Sr. Paulino José de Oliveira (presidente) e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Sra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Lilian;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Sindicounião</w:t>
      </w:r>
      <w:proofErr w:type="spellEnd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,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representado pelo Sr. Leomar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Antonio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Burtet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>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 </w:t>
      </w:r>
      <w:proofErr w:type="spellStart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Sincopuava</w:t>
      </w:r>
      <w:proofErr w:type="spellEnd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,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representado pelo Sr. Sadi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Giongo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e Sr.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Selio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Geraldo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Sansana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>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Sincolpar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>,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r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epresentado pelo Sr.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Elisandro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Henrique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Leonardi;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Sincontabil</w:t>
      </w:r>
      <w:proofErr w:type="spellEnd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 Maringá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pelo Sr. José Carlos Cardoso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Goes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Silva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(presidente);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Sindicato dos Contadores e Técnicos em Contabilidade de </w:t>
      </w:r>
      <w:proofErr w:type="spellStart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Fco</w:t>
      </w:r>
      <w:proofErr w:type="spellEnd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 Beltrão e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Região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pela Sra.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Ivaneide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Braz e Sra. Eduarda Vieira;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Sindicato dos Contabilistas de Apucarana</w:t>
      </w:r>
      <w:r>
        <w:rPr>
          <w:rFonts w:ascii="NimbusSansL-Regu" w:hAnsi="NimbusSansL-Regu" w:cs="NimbusSansL-Regu"/>
          <w:color w:val="000000"/>
          <w:sz w:val="23"/>
          <w:szCs w:val="23"/>
        </w:rPr>
        <w:t>, representado pelo Sr. José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Carlos </w:t>
      </w:r>
      <w:r>
        <w:rPr>
          <w:rFonts w:ascii="NimbusSansL-Regu" w:hAnsi="NimbusSansL-Regu" w:cs="NimbusSansL-Regu"/>
          <w:color w:val="000000"/>
          <w:sz w:val="23"/>
          <w:szCs w:val="23"/>
        </w:rPr>
        <w:t>da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Silva;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Sicontiba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pelo Dr. Ricardo </w:t>
      </w:r>
      <w:proofErr w:type="spellStart"/>
      <w:proofErr w:type="gramStart"/>
      <w:r>
        <w:rPr>
          <w:rFonts w:ascii="NimbusSansL-Regu" w:hAnsi="NimbusSansL-Regu" w:cs="NimbusSansL-Regu"/>
          <w:color w:val="000000"/>
          <w:sz w:val="23"/>
          <w:szCs w:val="23"/>
        </w:rPr>
        <w:t>Weber;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Sincopar</w:t>
      </w:r>
      <w:proofErr w:type="spellEnd"/>
      <w:proofErr w:type="gram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pela Sra.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Sidineia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>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CSB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representada pelo Sr. Marcelo dos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Santos;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CTB</w:t>
      </w:r>
      <w:proofErr w:type="spellEnd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 Paraná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representada pelo Sr. Alexandre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Hungaro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da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Silva;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UGT-PR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representada pelo Sra. Iara Alvarenga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Freire;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CUT</w:t>
      </w:r>
      <w:proofErr w:type="spellEnd"/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/PR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pelo Sr. Marcio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Kieller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Pr</w:t>
      </w:r>
      <w:r>
        <w:rPr>
          <w:rFonts w:ascii="NimbusSansL-Regu" w:hAnsi="NimbusSansL-Regu" w:cs="NimbusSansL-Regu"/>
          <w:color w:val="000000"/>
          <w:sz w:val="23"/>
          <w:szCs w:val="23"/>
        </w:rPr>
        <w:t>esidente);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SINTIACRE - Sindicato dos Trabalhadores nas Indústrias de Alimentação de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Cascavel e Região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pelo Dr. Marcos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Antonio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Velasco (assessor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jurídico);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FTIAPR</w:t>
      </w:r>
      <w:r>
        <w:rPr>
          <w:rFonts w:ascii="NimbusSansL-Regu" w:hAnsi="NimbusSansL-Regu" w:cs="NimbusSansL-Regu"/>
          <w:color w:val="000000"/>
          <w:sz w:val="23"/>
          <w:szCs w:val="23"/>
        </w:rPr>
        <w:t>, representada pelo Sr. Ernane Garcia (presidente) e Dr. Cícero Vieira de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Araújo;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SIMEC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pela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Sra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Graziele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Ap. Flores Ferreira, Sr. Jefferson Rosa, Dr.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Wilmar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Alvino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da Silva e Dr.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Wilmar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Alvino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da Silva Junior (assessores jurídicos),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Sr. Nelson Luiz da Silva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e</w:t>
      </w: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DIEESE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, representado pelo Sr. Fabiano Camargo da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Silva.Trata-se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de reunião com as entidades sindicais do Estado do Paraná tendo como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finalidade estabelecer o diálogo social a respeito da promoção da liberdade sindical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edas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modalidades de financiamento dos sindicatos. Destaca-se a presença de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entidades sindicais representantes dos escritórios de contabilidade, cujos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participantes ressaltam dúvidas relacionadas ao desconto da contribuição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assistencial instituída em acordos e convenções coletivas de trabalho. Após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manifestação dos participantes, tendo como base a Nota Técnica n. 2 da CONALIS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(https://mpt.mp.br/pgt/publicacoes/notas-tecnicas/nota-tecnica-conalis-mpt-n-2-de-26-de-outubro-de-2018/@@display-file/arquivo_pdf), apresentou-se os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parâmetrosconstitucionais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relacionados ao desconto da contribuição assistencial.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r>
        <w:rPr>
          <w:rFonts w:ascii="NimbusSansL-Regu" w:hAnsi="NimbusSansL-Regu" w:cs="NimbusSansL-Regu"/>
          <w:color w:val="000000"/>
          <w:sz w:val="23"/>
          <w:szCs w:val="23"/>
        </w:rPr>
        <w:t xml:space="preserve">A Lei n. 13.467/17 afastou a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compulsoriedade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da contribuição sindical (</w:t>
      </w:r>
      <w:proofErr w:type="spellStart"/>
      <w:proofErr w:type="gramStart"/>
      <w:r>
        <w:rPr>
          <w:rFonts w:ascii="NimbusSansL-Regu" w:hAnsi="NimbusSansL-Regu" w:cs="NimbusSansL-Regu"/>
          <w:color w:val="000000"/>
          <w:sz w:val="23"/>
          <w:szCs w:val="23"/>
        </w:rPr>
        <w:t>CLT,art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>.</w:t>
      </w:r>
      <w:proofErr w:type="gram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578).O STF declarou constitucional a Lei n. 13.467/17 no que se refere ao fim da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proofErr w:type="spellStart"/>
      <w:proofErr w:type="gramStart"/>
      <w:r>
        <w:rPr>
          <w:rFonts w:ascii="NimbusSansL-Regu" w:hAnsi="NimbusSansL-Regu" w:cs="NimbusSansL-Regu"/>
          <w:color w:val="000000"/>
          <w:sz w:val="23"/>
          <w:szCs w:val="23"/>
        </w:rPr>
        <w:t>compulsoriedade</w:t>
      </w:r>
      <w:proofErr w:type="spellEnd"/>
      <w:proofErr w:type="gram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da contribuição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sindical.O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tripé da organização sindical brasileira é formado pela unicidade, pelo efeito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erga omnes da negociação coletiva e pela contribuição sindical descontada de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todos os trabalhadores, como destacado pelo Ministro Luiz Edson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Fachin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>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Ao se retirar um desses pilares, o sistema poderá ruir </w:t>
      </w:r>
      <w:r>
        <w:rPr>
          <w:rFonts w:ascii="NimbusSansL-Regu" w:hAnsi="NimbusSansL-Regu" w:cs="NimbusSansL-Regu"/>
          <w:color w:val="000000"/>
          <w:sz w:val="23"/>
          <w:szCs w:val="23"/>
        </w:rPr>
        <w:lastRenderedPageBreak/>
        <w:t>como um todo.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 unicidade (CF, 8º, II), a eficácia erga omnes dos instrumentos normativos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r>
        <w:rPr>
          <w:rFonts w:ascii="NimbusSansL-Regu" w:hAnsi="NimbusSansL-Regu" w:cs="NimbusSansL-Regu"/>
          <w:color w:val="000000"/>
          <w:sz w:val="23"/>
          <w:szCs w:val="23"/>
        </w:rPr>
        <w:t>(CLT, art. 611) e os efeitos decorrentes da reforma trabalhista demandam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uma nova interpretação das normas que versem sobre o custeio das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entidades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sindicais.A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negociação coletiva é direito fundamental social dos trabalhadores (CF,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arts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>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7º, XXVI e 8º, VI).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Ao sindicato cabe a defesa dos direitos e interesses coletivos ou individuais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de toda a categoria.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O sindicato negocia e participa compulsoriamente das negociações coletivas,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firmando instrumentos normativos que valem para todos os representados,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associados e não associados (CF, art. 8º, incisos III e VI da CF e CLT, art.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611).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 atividade sindical em prol da defesa dos direitos sociais trabalhistas requer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fontes de financiamento legítimas.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 assembleia de trabalhadores regularmente convocada é fonte legítima para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 estipulação de contribuição destinada ao custeio das atividades sindicais,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podendo dispor sobre o valor, a forma do desconto, a finalidade e a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destinação da contribuição (CLT, art. 513, e).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Nos termos do artigo 462 da CLT, o desconto sobre o salário do trabalhador é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permitido quando previamente estabelecido em instrumento normativo (acordo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ou convenção coletiva de trabalho).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O desconto em folha de contribuição devida ao sindicato também é regulado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pelo artigo 545 da CLT, cuja redação estabelece o requisito “devidamente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autorizados”.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O art. 611-B, XXVI, da CLT, acrescido pela Lei n. 13.467/17, estabelece 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requisito de validade “expressa e prévia autorização” da cláusula que dispõe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sobre cobrança ou desconto salarial no âmbito de instrumento coletivo.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Nas seis oportunidades em que o legislador recorreu ao requisito da prévia e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expressa autorização, em nenhuma delas se apura as expressões individual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proofErr w:type="gramStart"/>
      <w:r>
        <w:rPr>
          <w:rFonts w:ascii="NimbusSansL-Regu" w:hAnsi="NimbusSansL-Regu" w:cs="NimbusSansL-Regu"/>
          <w:color w:val="000000"/>
          <w:sz w:val="23"/>
          <w:szCs w:val="23"/>
        </w:rPr>
        <w:t>ou</w:t>
      </w:r>
      <w:proofErr w:type="gram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 coletiva (CLT, artigos 578, 579, 582, 583, 602, 611-B, XXVI).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Desta forma, a “autorização prévia e expressa” para desconto em folha da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contribuição devida ao sindicato poderá ser tanto coletiva, quanto individual,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nos termos deliberados em assembleia convocada pelo sindicato, assegurada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 participação de todos os integrantes da categoria, associados ou não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associados (CF, art. 8º, III e VI, e CLT, art. 462 e 611).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 estipulação de contribuição em acordo ou convenção coletiva de trabalho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deverá ser aprovada em assembleia legítima, representativa, democrática e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regularmente convocada, assegurada a ampla participação de todos os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integrantes da categoria, associados ou não ao sindicato, nos termos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definidos pelo estatuto.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Deverá, ainda, ser fixada em valor razoável e assegurar aos não filiados o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direito de oposição ao desconto.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O exercício do direito de oposição deverá ocorrer em prazo razoável à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manifestação de vontade do trabalhador não associado.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Os valores auferidos pelos sindicatos serão objeto de prestação de contas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periódicas, devendo ser observado amplamente o princípio da transparência.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 ata da audiência foi compartilhada ao final da videoconferência, sendo dispensada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a assinatura pelas partes.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>Nada mais havendo a acrescentar, concluiu-se a audiência às 16h30min. Eu,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Rosana Pires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Pierin</w:t>
      </w:r>
      <w:proofErr w:type="spellEnd"/>
      <w:r>
        <w:rPr>
          <w:rFonts w:ascii="NimbusSansL-Regu" w:hAnsi="NimbusSansL-Regu" w:cs="NimbusSansL-Regu"/>
          <w:color w:val="000000"/>
          <w:sz w:val="23"/>
          <w:szCs w:val="23"/>
        </w:rPr>
        <w:t xml:space="preserve">, Técnica do MPU/Administração, </w:t>
      </w:r>
      <w:proofErr w:type="gramStart"/>
      <w:r>
        <w:rPr>
          <w:rFonts w:ascii="NimbusSansL-Regu" w:hAnsi="NimbusSansL-Regu" w:cs="NimbusSansL-Regu"/>
          <w:color w:val="000000"/>
          <w:sz w:val="23"/>
          <w:szCs w:val="23"/>
        </w:rPr>
        <w:t>lavrei</w:t>
      </w:r>
      <w:r w:rsidR="002846EE"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esta</w:t>
      </w:r>
      <w:proofErr w:type="spellEnd"/>
      <w:proofErr w:type="gramEnd"/>
      <w:r w:rsidR="002846EE">
        <w:rPr>
          <w:rFonts w:ascii="NimbusSansL-Regu" w:hAnsi="NimbusSansL-Regu" w:cs="NimbusSansL-Regu"/>
          <w:color w:val="000000"/>
          <w:sz w:val="23"/>
          <w:szCs w:val="23"/>
        </w:rPr>
        <w:t xml:space="preserve"> </w:t>
      </w:r>
      <w:r>
        <w:rPr>
          <w:rFonts w:ascii="NimbusSansL-Regu" w:hAnsi="NimbusSansL-Regu" w:cs="NimbusSansL-Regu"/>
          <w:color w:val="000000"/>
          <w:sz w:val="23"/>
          <w:szCs w:val="23"/>
        </w:rPr>
        <w:t xml:space="preserve"> ata.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Bold" w:hAnsi="NimbusSansL-Bold" w:cs="NimbusSansL-Bold"/>
          <w:b/>
          <w:bCs/>
          <w:color w:val="000000"/>
          <w:sz w:val="23"/>
          <w:szCs w:val="23"/>
        </w:rPr>
      </w:pP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Bold" w:hAnsi="NimbusSansL-Bold" w:cs="NimbusSansL-Bold"/>
          <w:b/>
          <w:bCs/>
          <w:color w:val="000000"/>
          <w:sz w:val="23"/>
          <w:szCs w:val="23"/>
        </w:rPr>
      </w:pP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 xml:space="preserve"> 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Bold" w:hAnsi="NimbusSansL-Bold" w:cs="NimbusSansL-Bold"/>
          <w:b/>
          <w:bCs/>
          <w:color w:val="000000"/>
          <w:sz w:val="23"/>
          <w:szCs w:val="23"/>
        </w:rPr>
      </w:pPr>
      <w:r>
        <w:rPr>
          <w:rFonts w:ascii="NimbusSansL-Bold" w:hAnsi="NimbusSansL-Bold" w:cs="NimbusSansL-Bold"/>
          <w:b/>
          <w:bCs/>
          <w:color w:val="000000"/>
          <w:sz w:val="23"/>
          <w:szCs w:val="23"/>
        </w:rPr>
        <w:t>Alberto Emiliano de Oliveira Neto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r>
        <w:rPr>
          <w:rFonts w:ascii="NimbusSansL-Regu" w:hAnsi="NimbusSansL-Regu" w:cs="NimbusSansL-Regu"/>
          <w:color w:val="000000"/>
          <w:sz w:val="23"/>
          <w:szCs w:val="23"/>
        </w:rPr>
        <w:t>Procurador do Trabalho</w:t>
      </w:r>
    </w:p>
    <w:p w:rsidR="000E2197" w:rsidRDefault="000E2197" w:rsidP="000E2197">
      <w:pPr>
        <w:autoSpaceDE w:val="0"/>
        <w:autoSpaceDN w:val="0"/>
        <w:adjustRightInd w:val="0"/>
        <w:spacing w:after="0" w:line="240" w:lineRule="auto"/>
        <w:jc w:val="both"/>
        <w:rPr>
          <w:rFonts w:ascii="NimbusSansL-Regu" w:hAnsi="NimbusSansL-Regu" w:cs="NimbusSansL-Regu"/>
          <w:color w:val="000000"/>
          <w:sz w:val="23"/>
          <w:szCs w:val="23"/>
        </w:rPr>
      </w:pPr>
      <w:r>
        <w:rPr>
          <w:rFonts w:ascii="NimbusSansL-Regu" w:hAnsi="NimbusSansL-Regu" w:cs="NimbusSansL-Regu"/>
          <w:color w:val="000000"/>
          <w:sz w:val="23"/>
          <w:szCs w:val="23"/>
        </w:rPr>
        <w:t xml:space="preserve">Rosana Pires </w:t>
      </w:r>
      <w:proofErr w:type="spellStart"/>
      <w:r>
        <w:rPr>
          <w:rFonts w:ascii="NimbusSansL-Regu" w:hAnsi="NimbusSansL-Regu" w:cs="NimbusSansL-Regu"/>
          <w:color w:val="000000"/>
          <w:sz w:val="23"/>
          <w:szCs w:val="23"/>
        </w:rPr>
        <w:t>Pierin</w:t>
      </w:r>
      <w:proofErr w:type="spellEnd"/>
    </w:p>
    <w:p w:rsidR="00870935" w:rsidRDefault="000E2197" w:rsidP="000E2197">
      <w:pPr>
        <w:jc w:val="both"/>
      </w:pPr>
      <w:r>
        <w:rPr>
          <w:rFonts w:ascii="NimbusSansL-Regu" w:hAnsi="NimbusSansL-Regu" w:cs="NimbusSansL-Regu"/>
          <w:color w:val="000000"/>
          <w:sz w:val="23"/>
          <w:szCs w:val="23"/>
        </w:rPr>
        <w:t>Técnica do MPU/Administração</w:t>
      </w:r>
    </w:p>
    <w:p w:rsidR="000E2197" w:rsidRDefault="000E2197">
      <w:pPr>
        <w:jc w:val="both"/>
      </w:pPr>
    </w:p>
    <w:sectPr w:rsidR="000E21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imbusSansL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imbusSansL-Regu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imbusSanL-ReguIt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97"/>
    <w:rsid w:val="000E2197"/>
    <w:rsid w:val="002846EE"/>
    <w:rsid w:val="0087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14C24-225A-4402-BD75-B50DFCE0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1082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2021-07-26T14:11:00Z</dcterms:created>
  <dcterms:modified xsi:type="dcterms:W3CDTF">2021-07-26T14:22:00Z</dcterms:modified>
</cp:coreProperties>
</file>